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6CA" w:rsidRDefault="002542B2">
      <w:bookmarkStart w:id="0" w:name="_GoBack"/>
      <w:bookmarkEnd w:id="0"/>
      <w:r>
        <w:t>Since 2010, Max Weber Fellow at the EUI, associated with the Law Department; on leave as Assistant Professor Law (Brooklyn Law School, New York, USA).  Master’s and doctoral studies at Columbia University School of Law (New York, USA), with dissertation entitled “Antitrust Governance: From Doctrinal Rules to Experimentalist Regimes” defended in May 2010.  Prior appointments as teaching fellow at Columbia University Law School and as associate lecturer in economics at the University of Sydney (Australia), teaching game theory and mathematical economics.  Research focus in the area of regulatory and competition law and the design of regulatory regimes.  Received degrees in economics and in law from the University of Sydney (Australia).  Worked as law clerk to the Hon. Justice Michael Kirby AC CMG of the High Court of Australia and as litigation associate at Cravath, Swaine &amp; Moore (New York, USA).</w:t>
      </w:r>
    </w:p>
    <w:sectPr w:rsidR="008546CA" w:rsidSect="006270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B2"/>
    <w:rsid w:val="002542B2"/>
    <w:rsid w:val="00F962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EUI</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2012-01-27T09:01:00Z</dcterms:created>
  <dcterms:modified xsi:type="dcterms:W3CDTF">2012-01-27T09:01:00Z</dcterms:modified>
</cp:coreProperties>
</file>